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418431</w:t>
      </w:r>
    </w:p>
    <w:p>
      <w:pPr>
        <w:pStyle w:val="18"/>
        <w:tabs>
          <w:tab w:val="right" w:pos="9781"/>
          <w:tab w:val="right" w:pos="13323"/>
          <w:tab w:val="clear" w:pos="4153"/>
          <w:tab w:val="clear" w:pos="8306"/>
        </w:tabs>
        <w:spacing w:before="60" w:after="60"/>
        <w:outlineLvl w:val="0"/>
        <w:rPr>
          <w:rFonts w:ascii="Arial" w:hAnsi="Arial" w:cs="Arial"/>
          <w:b/>
          <w:bCs/>
          <w:highlight w:val="yellow"/>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985"/>
        </w:tabs>
        <w:rPr>
          <w:b/>
          <w:sz w:val="22"/>
        </w:rPr>
      </w:pPr>
    </w:p>
    <w:p>
      <w:pPr>
        <w:tabs>
          <w:tab w:val="left" w:pos="1765"/>
          <w:tab w:val="center" w:pos="4557"/>
        </w:tabs>
        <w:rPr>
          <w:rFonts w:hint="default" w:eastAsiaTheme="minorEastAsia"/>
          <w:b/>
          <w:sz w:val="22"/>
          <w:highlight w:val="none"/>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7.22.2.2</w:t>
      </w:r>
    </w:p>
    <w:p>
      <w:pPr>
        <w:tabs>
          <w:tab w:val="left" w:pos="1765"/>
        </w:tabs>
        <w:rPr>
          <w:sz w:val="22"/>
        </w:rPr>
      </w:pPr>
      <w:r>
        <w:rPr>
          <w:b/>
          <w:sz w:val="22"/>
        </w:rPr>
        <w:t xml:space="preserve">Source: </w:t>
      </w:r>
      <w:r>
        <w:rPr>
          <w:b/>
          <w:sz w:val="22"/>
        </w:rPr>
        <w:tab/>
      </w:r>
      <w:bookmarkStart w:id="1" w:name="_Hlk41145958"/>
      <w:r>
        <w:rPr>
          <w:sz w:val="22"/>
        </w:rPr>
        <w:t>CMCC</w:t>
      </w:r>
      <w:bookmarkEnd w:id="1"/>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bookmarkStart w:id="8" w:name="_GoBack"/>
      <w:bookmarkEnd w:id="8"/>
      <w:r>
        <w:rPr>
          <w:rFonts w:hint="eastAsia"/>
          <w:sz w:val="22"/>
        </w:rPr>
        <w:t>Discussion on RRM requirement of signal adaptation for NES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In last meeting, RAN4 discussed SSB signal adaptation, and some initial conclusions have been agreed in WF. [1] In this paper, we further discuss SSB adaptation related issues, and identify RAN4 impacts according to the progress of other working group.</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5" w:name="_Hlk70326378"/>
      <w:bookmarkStart w:id="6" w:name="OLE_LINK2"/>
      <w:bookmarkStart w:id="7" w:name="OLE_LINK1"/>
      <w:r>
        <w:rPr>
          <w:rFonts w:hint="eastAsia" w:ascii="Times New Roman" w:hAnsi="Times New Roman"/>
          <w:b w:val="0"/>
          <w:bCs w:val="0"/>
          <w:kern w:val="0"/>
          <w:sz w:val="36"/>
          <w:szCs w:val="36"/>
          <w:lang w:val="en-US" w:eastAsia="zh-CN"/>
        </w:rPr>
        <w:t>SSB A</w:t>
      </w:r>
      <w:r>
        <w:rPr>
          <w:rFonts w:hint="eastAsia" w:ascii="Times New Roman" w:hAnsi="Times New Roman"/>
          <w:b w:val="0"/>
          <w:bCs w:val="0"/>
          <w:kern w:val="0"/>
          <w:sz w:val="36"/>
          <w:szCs w:val="36"/>
          <w:lang w:val="en-GB"/>
        </w:rPr>
        <w:t>daptation</w:t>
      </w:r>
    </w:p>
    <w:p>
      <w:pPr>
        <w:overflowPunct w:val="0"/>
        <w:autoSpaceDE w:val="0"/>
        <w:autoSpaceDN w:val="0"/>
        <w:adjustRightInd w:val="0"/>
        <w:spacing w:after="120"/>
        <w:jc w:val="both"/>
        <w:rPr>
          <w:rFonts w:hint="eastAsia" w:eastAsia="宋体"/>
          <w:b/>
          <w:i/>
          <w:iCs/>
          <w:sz w:val="20"/>
          <w:szCs w:val="20"/>
          <w:u w:val="single"/>
          <w:lang w:val="en-US" w:eastAsia="zh-CN"/>
        </w:rPr>
      </w:pPr>
      <w:r>
        <w:rPr>
          <w:rFonts w:hint="eastAsia" w:eastAsia="宋体"/>
          <w:b/>
          <w:i/>
          <w:iCs/>
          <w:sz w:val="20"/>
          <w:szCs w:val="20"/>
          <w:u w:val="single"/>
          <w:lang w:val="en-US" w:eastAsia="zh-CN"/>
        </w:rPr>
        <w:t>Cell DTX extension to SSB adaptation</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For Cell DTX extension to SSBs not on sync-raster for connected mode UEs, RAN1 achieved following agreements:</w:t>
      </w:r>
    </w:p>
    <w:p>
      <w:pPr>
        <w:snapToGrid w:val="0"/>
        <w:spacing w:after="120"/>
        <w:rPr>
          <w:rFonts w:hint="default" w:eastAsia="等线"/>
          <w:i/>
          <w:iCs/>
          <w:sz w:val="20"/>
          <w:szCs w:val="20"/>
          <w:highlight w:val="green"/>
          <w:lang w:val="en-GB" w:eastAsia="zh-CN"/>
        </w:rPr>
      </w:pPr>
      <w:r>
        <w:rPr>
          <w:rFonts w:hint="default" w:eastAsia="等线"/>
          <w:i/>
          <w:iCs/>
          <w:sz w:val="20"/>
          <w:szCs w:val="20"/>
          <w:highlight w:val="green"/>
          <w:lang w:val="en-GB" w:eastAsia="zh-CN"/>
        </w:rPr>
        <w:t>Agreement</w:t>
      </w:r>
      <w:r>
        <w:rPr>
          <w:rFonts w:hint="default" w:eastAsia="等线"/>
          <w:i/>
          <w:iCs/>
          <w:sz w:val="20"/>
          <w:szCs w:val="20"/>
          <w:highlight w:val="green"/>
          <w:lang w:val="en-US" w:eastAsia="zh-CN"/>
        </w:rPr>
        <w:t xml:space="preserve"> from RAN1#118bis</w:t>
      </w:r>
    </w:p>
    <w:p>
      <w:pPr>
        <w:numPr>
          <w:ilvl w:val="0"/>
          <w:numId w:val="4"/>
        </w:numPr>
        <w:spacing w:line="259" w:lineRule="auto"/>
        <w:ind w:left="720" w:hanging="360"/>
        <w:rPr>
          <w:rFonts w:hint="default" w:ascii="Times New Roman" w:hAnsi="Times New Roman" w:eastAsia="Batang" w:cs="Times New Roman"/>
          <w:i/>
          <w:iCs/>
          <w:sz w:val="20"/>
          <w:szCs w:val="20"/>
          <w:highlight w:val="none"/>
          <w:lang w:val="en-GB" w:eastAsia="en-US"/>
        </w:rPr>
      </w:pPr>
      <w:r>
        <w:rPr>
          <w:rFonts w:hint="default" w:ascii="Times New Roman" w:hAnsi="Times New Roman" w:eastAsia="Batang" w:cs="Times New Roman"/>
          <w:i/>
          <w:iCs/>
          <w:sz w:val="20"/>
          <w:szCs w:val="20"/>
          <w:highlight w:val="none"/>
          <w:lang w:val="en-GB" w:eastAsia="en-US"/>
        </w:rPr>
        <w:t>For Cell DTX extension to SSBs not on sync-raster for connected mode UEs, select Option 3, i.e. Cell DTX does not impact UE assumption on SSB transmissions (i.e. legacy behavior).</w:t>
      </w:r>
    </w:p>
    <w:p>
      <w:pPr>
        <w:numPr>
          <w:ilvl w:val="1"/>
          <w:numId w:val="4"/>
        </w:numPr>
        <w:spacing w:line="259" w:lineRule="auto"/>
        <w:ind w:left="1440" w:leftChars="0" w:hanging="360" w:firstLineChars="0"/>
        <w:rPr>
          <w:rFonts w:hint="default" w:ascii="Times New Roman" w:hAnsi="Times New Roman" w:eastAsia="Batang" w:cs="Times New Roman"/>
          <w:i/>
          <w:iCs/>
          <w:sz w:val="20"/>
          <w:szCs w:val="20"/>
          <w:highlight w:val="none"/>
          <w:lang w:val="en-US" w:eastAsia="zh-CN"/>
        </w:rPr>
      </w:pPr>
      <w:r>
        <w:rPr>
          <w:rFonts w:hint="default" w:ascii="Times New Roman" w:hAnsi="Times New Roman" w:eastAsia="Batang" w:cs="Times New Roman"/>
          <w:i/>
          <w:iCs/>
          <w:sz w:val="20"/>
          <w:szCs w:val="20"/>
          <w:highlight w:val="none"/>
          <w:lang w:val="en-GB" w:eastAsia="ja-JP"/>
        </w:rPr>
        <w:t>No spec impact</w:t>
      </w:r>
    </w:p>
    <w:p>
      <w:pPr>
        <w:overflowPunct w:val="0"/>
        <w:autoSpaceDE w:val="0"/>
        <w:autoSpaceDN w:val="0"/>
        <w:adjustRightInd w:val="0"/>
        <w:spacing w:after="120"/>
        <w:jc w:val="both"/>
        <w:rPr>
          <w:rFonts w:hint="default" w:eastAsia="宋体"/>
          <w:sz w:val="20"/>
          <w:szCs w:val="20"/>
          <w:lang w:val="en-US" w:eastAsia="zh-CN"/>
        </w:rPr>
      </w:pPr>
      <w:r>
        <w:rPr>
          <w:rFonts w:hint="eastAsia" w:eastAsia="宋体"/>
          <w:sz w:val="20"/>
          <w:szCs w:val="20"/>
          <w:lang w:val="en-US" w:eastAsia="zh-CN"/>
        </w:rPr>
        <w:t>Therefore, when RAN4 define requirement with SSB adaptation, no need to consider the Cell DTX impact.</w:t>
      </w:r>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1: No Cell DTX impact on SSB adaptation related requirements.</w:t>
      </w:r>
    </w:p>
    <w:p>
      <w:pPr>
        <w:overflowPunct w:val="0"/>
        <w:autoSpaceDE w:val="0"/>
        <w:autoSpaceDN w:val="0"/>
        <w:adjustRightInd w:val="0"/>
        <w:spacing w:after="120"/>
        <w:jc w:val="both"/>
        <w:rPr>
          <w:rFonts w:hint="eastAsia" w:eastAsia="宋体"/>
          <w:b/>
          <w:i/>
          <w:iCs/>
          <w:sz w:val="20"/>
          <w:szCs w:val="20"/>
          <w:u w:val="single"/>
          <w:lang w:val="en-US" w:eastAsia="zh-CN"/>
        </w:rPr>
      </w:pPr>
    </w:p>
    <w:p>
      <w:pPr>
        <w:keepNext w:val="0"/>
        <w:keepLines w:val="0"/>
        <w:pageBreakBefore w:val="0"/>
        <w:widowControl/>
        <w:kinsoku/>
        <w:wordWrap/>
        <w:overflowPunct w:val="0"/>
        <w:topLinePunct w:val="0"/>
        <w:autoSpaceDE w:val="0"/>
        <w:autoSpaceDN w:val="0"/>
        <w:bidi w:val="0"/>
        <w:adjustRightInd w:val="0"/>
        <w:snapToGrid/>
        <w:spacing w:after="120"/>
        <w:jc w:val="both"/>
        <w:textAlignment w:val="auto"/>
        <w:rPr>
          <w:rFonts w:hint="default" w:eastAsia="宋体"/>
          <w:b/>
          <w:i/>
          <w:iCs/>
          <w:sz w:val="20"/>
          <w:szCs w:val="20"/>
          <w:u w:val="single"/>
          <w:lang w:val="en-US" w:eastAsia="zh-CN"/>
        </w:rPr>
      </w:pPr>
      <w:r>
        <w:rPr>
          <w:rFonts w:hint="eastAsia" w:eastAsia="宋体"/>
          <w:b/>
          <w:i/>
          <w:iCs/>
          <w:sz w:val="20"/>
          <w:szCs w:val="20"/>
          <w:u w:val="single"/>
          <w:lang w:val="en-US" w:eastAsia="zh-CN"/>
        </w:rPr>
        <w:t>T</w:t>
      </w:r>
      <w:r>
        <w:rPr>
          <w:rFonts w:hint="default" w:eastAsia="宋体"/>
          <w:b/>
          <w:i/>
          <w:iCs/>
          <w:sz w:val="20"/>
          <w:szCs w:val="20"/>
          <w:u w:val="single"/>
          <w:lang w:val="en-US" w:eastAsia="zh-CN"/>
        </w:rPr>
        <w:t>ransition period</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the mechanism of SSB adaptation in time-domain, RAN1 concluded following agreements[4]: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rFonts w:ascii="Times New Roman" w:hAnsi="Times New Roman"/>
                <w:sz w:val="20"/>
                <w:szCs w:val="15"/>
                <w:lang w:eastAsia="ko-KR"/>
              </w:rPr>
            </w:pPr>
            <w:r>
              <w:rPr>
                <w:rFonts w:ascii="Times New Roman" w:hAnsi="Times New Roman"/>
                <w:sz w:val="20"/>
                <w:szCs w:val="15"/>
                <w:highlight w:val="green"/>
                <w:lang w:eastAsia="ko-KR"/>
              </w:rPr>
              <w:t>Agreement</w:t>
            </w:r>
          </w:p>
          <w:p>
            <w:pPr>
              <w:rPr>
                <w:rFonts w:ascii="Times New Roman" w:hAnsi="Times New Roman"/>
                <w:sz w:val="20"/>
                <w:szCs w:val="15"/>
                <w:lang w:eastAsia="zh-CN"/>
              </w:rPr>
            </w:pPr>
            <w:r>
              <w:rPr>
                <w:rFonts w:ascii="Times New Roman" w:hAnsi="Times New Roman"/>
                <w:sz w:val="20"/>
                <w:szCs w:val="15"/>
                <w:lang w:eastAsia="zh-CN"/>
              </w:rPr>
              <w:t>For adaptation of SSB in time-domain, Option 1 is supported</w:t>
            </w:r>
          </w:p>
          <w:p>
            <w:pPr>
              <w:numPr>
                <w:ilvl w:val="0"/>
                <w:numId w:val="5"/>
              </w:numPr>
              <w:suppressAutoHyphens/>
              <w:rPr>
                <w:rFonts w:ascii="Times New Roman" w:hAnsi="Times New Roman"/>
                <w:sz w:val="20"/>
                <w:szCs w:val="15"/>
                <w:lang w:eastAsia="zh-CN"/>
              </w:rPr>
            </w:pPr>
            <w:r>
              <w:rPr>
                <w:rFonts w:ascii="Times New Roman" w:hAnsi="Times New Roman"/>
                <w:sz w:val="20"/>
                <w:szCs w:val="15"/>
                <w:lang w:eastAsia="zh-CN"/>
              </w:rPr>
              <w:t>Option 1: Adaptation of SSB burst periodicity using one or more SSB burst periodicity value(s)</w:t>
            </w:r>
          </w:p>
          <w:p>
            <w:pPr>
              <w:numPr>
                <w:ilvl w:val="0"/>
                <w:numId w:val="5"/>
              </w:numPr>
              <w:suppressAutoHyphens/>
              <w:rPr>
                <w:rFonts w:ascii="Times New Roman" w:hAnsi="Times New Roman"/>
                <w:sz w:val="20"/>
                <w:szCs w:val="15"/>
                <w:lang w:eastAsia="zh-CN"/>
              </w:rPr>
            </w:pPr>
            <w:r>
              <w:rPr>
                <w:rFonts w:ascii="Times New Roman" w:hAnsi="Times New Roman"/>
                <w:sz w:val="20"/>
                <w:szCs w:val="15"/>
                <w:lang w:eastAsia="ko-KR"/>
              </w:rPr>
              <w:t>Note: Using Option 2 to realize Option 1 is not precluded</w:t>
            </w:r>
          </w:p>
          <w:p>
            <w:pPr>
              <w:numPr>
                <w:ilvl w:val="1"/>
                <w:numId w:val="5"/>
              </w:numPr>
              <w:suppressAutoHyphens/>
              <w:rPr>
                <w:rFonts w:ascii="Times New Roman" w:hAnsi="Times New Roman"/>
                <w:sz w:val="20"/>
                <w:szCs w:val="15"/>
              </w:rPr>
            </w:pPr>
            <w:r>
              <w:rPr>
                <w:rFonts w:ascii="Times New Roman" w:hAnsi="Times New Roman"/>
                <w:sz w:val="20"/>
                <w:szCs w:val="15"/>
              </w:rPr>
              <w:t>Option 2: Adaptation based on two SSB configurations [where up to two configurations can be active]</w:t>
            </w:r>
          </w:p>
          <w:p>
            <w:pPr>
              <w:numPr>
                <w:ilvl w:val="2"/>
                <w:numId w:val="5"/>
              </w:numPr>
              <w:suppressAutoHyphens/>
              <w:rPr>
                <w:rFonts w:ascii="Times New Roman" w:hAnsi="Times New Roman"/>
                <w:sz w:val="20"/>
                <w:szCs w:val="15"/>
              </w:rPr>
            </w:pPr>
            <w:r>
              <w:rPr>
                <w:rFonts w:ascii="Times New Roman" w:hAnsi="Times New Roman"/>
                <w:sz w:val="20"/>
                <w:szCs w:val="15"/>
              </w:rPr>
              <w:t>FFS: details of the differences between the two SSB configurations, e.g. two different periodicities</w:t>
            </w:r>
          </w:p>
          <w:p>
            <w:pPr>
              <w:numPr>
                <w:ilvl w:val="0"/>
                <w:numId w:val="5"/>
              </w:numPr>
              <w:suppressAutoHyphens/>
              <w:rPr>
                <w:rFonts w:ascii="Times New Roman" w:hAnsi="Times New Roman"/>
                <w:sz w:val="20"/>
                <w:szCs w:val="15"/>
                <w:lang w:eastAsia="zh-CN"/>
              </w:rPr>
            </w:pPr>
            <w:r>
              <w:rPr>
                <w:rFonts w:ascii="Times New Roman" w:hAnsi="Times New Roman"/>
                <w:sz w:val="20"/>
                <w:szCs w:val="15"/>
                <w:lang w:eastAsia="zh-CN"/>
              </w:rPr>
              <w:t xml:space="preserve">FFS: Details including applicable scenarios </w:t>
            </w:r>
          </w:p>
          <w:p>
            <w:pPr>
              <w:numPr>
                <w:ilvl w:val="0"/>
                <w:numId w:val="5"/>
              </w:numPr>
              <w:suppressAutoHyphens/>
              <w:rPr>
                <w:rFonts w:hint="default" w:eastAsia="宋体"/>
                <w:b/>
                <w:i/>
                <w:iCs/>
                <w:sz w:val="20"/>
                <w:szCs w:val="20"/>
                <w:u w:val="single"/>
                <w:vertAlign w:val="baseline"/>
                <w:lang w:val="en-US" w:eastAsia="zh-CN"/>
              </w:rPr>
            </w:pPr>
            <w:r>
              <w:rPr>
                <w:rFonts w:ascii="Times New Roman" w:hAnsi="Times New Roman"/>
                <w:sz w:val="20"/>
                <w:szCs w:val="15"/>
                <w:lang w:eastAsia="zh-CN"/>
              </w:rPr>
              <w:t>FFS: Support of Cell DTX for connected mode UEs for SSB</w:t>
            </w:r>
          </w:p>
        </w:tc>
      </w:tr>
    </w:tbl>
    <w:p>
      <w:pPr>
        <w:rPr>
          <w:rFonts w:hint="default" w:eastAsia="宋体"/>
          <w:b/>
          <w:i/>
          <w:iCs/>
          <w:sz w:val="20"/>
          <w:szCs w:val="20"/>
          <w:u w:val="single"/>
          <w:lang w:val="en-US" w:eastAsia="zh-CN"/>
        </w:rPr>
      </w:pP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Adaptation of SSB burst periodicity using one or more SSB burst periodicity value(s) is supported, which means there will be SSB periodicity transitions during the measurement.</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For delay requirement during the transition period, UE is unable to use the minimum requirements corresponding to the first SSB configuration/periodicity and the second SSB configuration/periodicity, due to the SSB resource itself is adapted.</w:t>
      </w:r>
    </w:p>
    <w:p>
      <w:pPr>
        <w:overflowPunct w:val="0"/>
        <w:autoSpaceDE w:val="0"/>
        <w:autoSpaceDN w:val="0"/>
        <w:adjustRightInd w:val="0"/>
        <w:spacing w:after="120"/>
        <w:jc w:val="both"/>
        <w:rPr>
          <w:rFonts w:hint="eastAsia" w:eastAsia="宋体"/>
          <w:sz w:val="20"/>
          <w:szCs w:val="20"/>
          <w:lang w:val="en-US" w:eastAsia="zh-CN"/>
        </w:rPr>
      </w:pPr>
      <w:r>
        <w:rPr>
          <w:rFonts w:hint="eastAsia" w:eastAsia="宋体"/>
          <w:sz w:val="20"/>
          <w:szCs w:val="20"/>
          <w:lang w:val="en-US" w:eastAsia="zh-CN"/>
        </w:rPr>
        <w:t>Therefore, for both L1 and L3 requirements during the transition period, requirements apply based on the longer delay before or after the transition.</w:t>
      </w:r>
    </w:p>
    <w:p>
      <w:pPr>
        <w:overflowPunct w:val="0"/>
        <w:autoSpaceDE w:val="0"/>
        <w:autoSpaceDN w:val="0"/>
        <w:adjustRightInd w:val="0"/>
        <w:spacing w:after="120"/>
        <w:jc w:val="both"/>
        <w:rPr>
          <w:rFonts w:hint="default" w:eastAsia="宋体"/>
          <w:sz w:val="20"/>
          <w:szCs w:val="20"/>
          <w:lang w:val="en-US" w:eastAsia="zh-CN"/>
        </w:rPr>
      </w:pPr>
      <w:r>
        <w:rPr>
          <w:rFonts w:hint="default" w:eastAsia="宋体"/>
          <w:sz w:val="20"/>
          <w:szCs w:val="20"/>
          <w:lang w:val="en-US" w:eastAsia="zh-CN"/>
        </w:rPr>
        <w:t xml:space="preserve">Subsequent to </w:t>
      </w:r>
      <w:r>
        <w:rPr>
          <w:rFonts w:hint="eastAsia" w:eastAsia="宋体"/>
          <w:sz w:val="20"/>
          <w:szCs w:val="20"/>
          <w:lang w:val="en-US" w:eastAsia="zh-CN"/>
        </w:rPr>
        <w:t>the transition</w:t>
      </w:r>
      <w:r>
        <w:rPr>
          <w:rFonts w:hint="default" w:eastAsia="宋体"/>
          <w:sz w:val="20"/>
          <w:szCs w:val="20"/>
          <w:lang w:val="en-US" w:eastAsia="zh-CN"/>
        </w:rPr>
        <w:t xml:space="preserve"> period, requirements </w:t>
      </w:r>
      <w:r>
        <w:rPr>
          <w:rFonts w:hint="eastAsia" w:eastAsia="宋体"/>
          <w:sz w:val="20"/>
          <w:szCs w:val="20"/>
          <w:lang w:val="en-US" w:eastAsia="zh-CN"/>
        </w:rPr>
        <w:t>apply based on the second SSB configuration/periodicity</w:t>
      </w:r>
      <w:r>
        <w:rPr>
          <w:rFonts w:hint="default" w:eastAsia="宋体"/>
          <w:sz w:val="20"/>
          <w:szCs w:val="20"/>
          <w:lang w:val="en-US" w:eastAsia="zh-CN"/>
        </w:rPr>
        <w:t>.</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2: For both L1 and L3 requirements during the transition period, requirements apply based on the longer delay before or after the transition. Subsequent to the transition period, requirements apply based on the second SSB configuration/periodicity.</w:t>
      </w: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keepNext w:val="0"/>
        <w:keepLines w:val="0"/>
        <w:pageBreakBefore w:val="0"/>
        <w:widowControl/>
        <w:kinsoku/>
        <w:wordWrap/>
        <w:overflowPunct/>
        <w:topLinePunct w:val="0"/>
        <w:autoSpaceDE/>
        <w:autoSpaceDN/>
        <w:bidi w:val="0"/>
        <w:adjustRightInd/>
        <w:snapToGrid/>
        <w:spacing w:before="60" w:after="157" w:afterLines="50"/>
        <w:jc w:val="both"/>
        <w:textAlignment w:val="auto"/>
        <w:rPr>
          <w:sz w:val="20"/>
          <w:szCs w:val="20"/>
        </w:rPr>
      </w:pPr>
      <w:r>
        <w:rPr>
          <w:sz w:val="20"/>
          <w:szCs w:val="20"/>
        </w:rPr>
        <w:t>Based on the discussion above, the following proposals</w:t>
      </w:r>
      <w:r>
        <w:rPr>
          <w:rFonts w:hint="eastAsia"/>
          <w:sz w:val="20"/>
          <w:szCs w:val="20"/>
          <w:lang w:val="en-US" w:eastAsia="zh-CN"/>
        </w:rPr>
        <w:t xml:space="preserve"> </w:t>
      </w:r>
      <w:r>
        <w:rPr>
          <w:sz w:val="20"/>
          <w:szCs w:val="20"/>
        </w:rPr>
        <w:t xml:space="preserve">are concluded. </w:t>
      </w:r>
      <w:bookmarkEnd w:id="6"/>
      <w:bookmarkEnd w:id="7"/>
    </w:p>
    <w:p>
      <w:pPr>
        <w:overflowPunct w:val="0"/>
        <w:autoSpaceDE w:val="0"/>
        <w:autoSpaceDN w:val="0"/>
        <w:adjustRightInd w:val="0"/>
        <w:spacing w:after="120"/>
        <w:jc w:val="both"/>
        <w:rPr>
          <w:rFonts w:hint="default"/>
          <w:b/>
          <w:bCs/>
          <w:i/>
          <w:iCs/>
          <w:sz w:val="20"/>
          <w:szCs w:val="20"/>
          <w:lang w:val="en-US" w:eastAsia="zh-CN"/>
        </w:rPr>
      </w:pPr>
      <w:r>
        <w:rPr>
          <w:rFonts w:hint="eastAsia"/>
          <w:b/>
          <w:bCs/>
          <w:i/>
          <w:iCs/>
          <w:sz w:val="20"/>
          <w:szCs w:val="20"/>
          <w:lang w:val="en-US" w:eastAsia="zh-CN"/>
        </w:rPr>
        <w:t>Proposal 1: No Cell DTX impact on SSB adaptation related requirements.</w:t>
      </w:r>
    </w:p>
    <w:p>
      <w:pPr>
        <w:overflowPunct w:val="0"/>
        <w:autoSpaceDE w:val="0"/>
        <w:autoSpaceDN w:val="0"/>
        <w:adjustRightInd w:val="0"/>
        <w:spacing w:after="120"/>
        <w:jc w:val="both"/>
        <w:rPr>
          <w:sz w:val="20"/>
          <w:szCs w:val="20"/>
        </w:rPr>
      </w:pPr>
      <w:r>
        <w:rPr>
          <w:rFonts w:hint="eastAsia"/>
          <w:b/>
          <w:bCs/>
          <w:i/>
          <w:iCs/>
          <w:sz w:val="20"/>
          <w:szCs w:val="20"/>
          <w:lang w:val="en-US" w:eastAsia="zh-CN"/>
        </w:rPr>
        <w:t>Proposal 2: For both L1 and L3 requirements during the transition period, requirements apply based on the longer delay before or after the transition. Subsequent to the transition period, requirements apply based on the second SSB configuration/periodicity.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rFonts w:hint="eastAsia"/>
          <w:sz w:val="20"/>
          <w:szCs w:val="20"/>
          <w:lang w:val="en-GB" w:eastAsia="zh-CN"/>
        </w:rPr>
      </w:pPr>
      <w:r>
        <w:rPr>
          <w:rFonts w:hint="eastAsia"/>
          <w:sz w:val="20"/>
          <w:szCs w:val="20"/>
          <w:lang w:val="en-US" w:eastAsia="zh-CN"/>
        </w:rPr>
        <w:t>R4-2416860, WF on RRM requirements for Netw_Energy_NR_enh_Part2, Huawei</w:t>
      </w:r>
    </w:p>
    <w:p>
      <w:pPr>
        <w:numPr>
          <w:ilvl w:val="0"/>
          <w:numId w:val="0"/>
        </w:numPr>
        <w:rPr>
          <w:rFonts w:hint="eastAsia"/>
          <w:sz w:val="20"/>
          <w:szCs w:val="20"/>
          <w:lang w:val="en-GB" w:eastAsia="zh-CN"/>
        </w:rPr>
      </w:pPr>
    </w:p>
    <w:p>
      <w:pPr>
        <w:numPr>
          <w:ilvl w:val="0"/>
          <w:numId w:val="0"/>
        </w:numPr>
        <w:rPr>
          <w:rFonts w:hint="eastAsia"/>
          <w:sz w:val="20"/>
          <w:szCs w:val="20"/>
          <w:lang w:val="en-GB" w:eastAsia="zh-CN"/>
        </w:rPr>
      </w:pPr>
    </w:p>
    <w:p>
      <w:pPr>
        <w:numPr>
          <w:ilvl w:val="0"/>
          <w:numId w:val="0"/>
        </w:numPr>
        <w:rPr>
          <w:rFonts w:hint="eastAsia"/>
          <w:sz w:val="20"/>
          <w:szCs w:val="20"/>
          <w:lang w:val="en-GB" w:eastAsia="zh-CN"/>
        </w:rPr>
      </w:pPr>
    </w:p>
    <w:p>
      <w:pPr>
        <w:numPr>
          <w:ilvl w:val="0"/>
          <w:numId w:val="0"/>
        </w:num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197351C"/>
    <w:multiLevelType w:val="multilevel"/>
    <w:tmpl w:val="319735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0B1F"/>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793F6E"/>
    <w:rsid w:val="01C31C44"/>
    <w:rsid w:val="026C01AD"/>
    <w:rsid w:val="03F16F56"/>
    <w:rsid w:val="0434763B"/>
    <w:rsid w:val="04605FB2"/>
    <w:rsid w:val="056C0B5C"/>
    <w:rsid w:val="059B2FBB"/>
    <w:rsid w:val="05B66B2B"/>
    <w:rsid w:val="05C31792"/>
    <w:rsid w:val="05E9310D"/>
    <w:rsid w:val="06380D63"/>
    <w:rsid w:val="06C938D1"/>
    <w:rsid w:val="06D13BC6"/>
    <w:rsid w:val="0775691E"/>
    <w:rsid w:val="07E010CA"/>
    <w:rsid w:val="08966482"/>
    <w:rsid w:val="09063CAD"/>
    <w:rsid w:val="091F2183"/>
    <w:rsid w:val="09DA048F"/>
    <w:rsid w:val="0A726FAB"/>
    <w:rsid w:val="0AC91636"/>
    <w:rsid w:val="0AD74098"/>
    <w:rsid w:val="0B3F7A8C"/>
    <w:rsid w:val="0B901DF3"/>
    <w:rsid w:val="0E592C66"/>
    <w:rsid w:val="10252A5E"/>
    <w:rsid w:val="103633B9"/>
    <w:rsid w:val="105C4837"/>
    <w:rsid w:val="11775C6E"/>
    <w:rsid w:val="125263AC"/>
    <w:rsid w:val="12F708E7"/>
    <w:rsid w:val="12FB52D6"/>
    <w:rsid w:val="13C54761"/>
    <w:rsid w:val="144F009D"/>
    <w:rsid w:val="14E02C25"/>
    <w:rsid w:val="15F8258F"/>
    <w:rsid w:val="164F7B75"/>
    <w:rsid w:val="175519EF"/>
    <w:rsid w:val="187E0711"/>
    <w:rsid w:val="18831A63"/>
    <w:rsid w:val="194C056B"/>
    <w:rsid w:val="198E3F9B"/>
    <w:rsid w:val="19977565"/>
    <w:rsid w:val="1A367ECB"/>
    <w:rsid w:val="1A5E6A80"/>
    <w:rsid w:val="1AA908A3"/>
    <w:rsid w:val="1B81057D"/>
    <w:rsid w:val="1C2A4303"/>
    <w:rsid w:val="1C4140A3"/>
    <w:rsid w:val="1C7E3BD3"/>
    <w:rsid w:val="1CBA70AF"/>
    <w:rsid w:val="1D2B280C"/>
    <w:rsid w:val="1D5B4C92"/>
    <w:rsid w:val="1D5F76BA"/>
    <w:rsid w:val="1DE54287"/>
    <w:rsid w:val="1DF035A9"/>
    <w:rsid w:val="1EB2708E"/>
    <w:rsid w:val="1F6714C5"/>
    <w:rsid w:val="21F31B70"/>
    <w:rsid w:val="2212587A"/>
    <w:rsid w:val="22394DC0"/>
    <w:rsid w:val="2261677D"/>
    <w:rsid w:val="228710D8"/>
    <w:rsid w:val="238D325A"/>
    <w:rsid w:val="238F7F15"/>
    <w:rsid w:val="248F342A"/>
    <w:rsid w:val="2539010A"/>
    <w:rsid w:val="25C32E03"/>
    <w:rsid w:val="25EB7656"/>
    <w:rsid w:val="26455B2C"/>
    <w:rsid w:val="26C167B6"/>
    <w:rsid w:val="270D633C"/>
    <w:rsid w:val="27496E3C"/>
    <w:rsid w:val="2884631A"/>
    <w:rsid w:val="28A67D37"/>
    <w:rsid w:val="28CB714E"/>
    <w:rsid w:val="29AF71E8"/>
    <w:rsid w:val="29DD14E4"/>
    <w:rsid w:val="2A2B6CE0"/>
    <w:rsid w:val="2A807AE4"/>
    <w:rsid w:val="2A86553C"/>
    <w:rsid w:val="2C5C2FEC"/>
    <w:rsid w:val="2C5C418D"/>
    <w:rsid w:val="2CA30CBD"/>
    <w:rsid w:val="2D202CAF"/>
    <w:rsid w:val="2D322639"/>
    <w:rsid w:val="2D921625"/>
    <w:rsid w:val="2DC659D1"/>
    <w:rsid w:val="2DD75F9C"/>
    <w:rsid w:val="2E464966"/>
    <w:rsid w:val="2E535EC2"/>
    <w:rsid w:val="2E683C59"/>
    <w:rsid w:val="2E871184"/>
    <w:rsid w:val="2F5838B9"/>
    <w:rsid w:val="3007171F"/>
    <w:rsid w:val="312749F9"/>
    <w:rsid w:val="328479C9"/>
    <w:rsid w:val="328A418D"/>
    <w:rsid w:val="3346489F"/>
    <w:rsid w:val="34785525"/>
    <w:rsid w:val="36164F55"/>
    <w:rsid w:val="365E056F"/>
    <w:rsid w:val="366E56BE"/>
    <w:rsid w:val="3676329D"/>
    <w:rsid w:val="37092A32"/>
    <w:rsid w:val="372F4478"/>
    <w:rsid w:val="3895132C"/>
    <w:rsid w:val="38E4448D"/>
    <w:rsid w:val="39E43EC7"/>
    <w:rsid w:val="3A10328B"/>
    <w:rsid w:val="3A622FD7"/>
    <w:rsid w:val="3AC86875"/>
    <w:rsid w:val="3C045223"/>
    <w:rsid w:val="3C0B377F"/>
    <w:rsid w:val="3C66551A"/>
    <w:rsid w:val="3CE57EB2"/>
    <w:rsid w:val="3D3F1B31"/>
    <w:rsid w:val="3D757E60"/>
    <w:rsid w:val="3DCE20FC"/>
    <w:rsid w:val="3E6A7347"/>
    <w:rsid w:val="3E78350E"/>
    <w:rsid w:val="3EDE44D4"/>
    <w:rsid w:val="3FCE5A5F"/>
    <w:rsid w:val="40061999"/>
    <w:rsid w:val="41766342"/>
    <w:rsid w:val="4195149B"/>
    <w:rsid w:val="419A3079"/>
    <w:rsid w:val="41A316E7"/>
    <w:rsid w:val="41B96EC5"/>
    <w:rsid w:val="420333A8"/>
    <w:rsid w:val="42272596"/>
    <w:rsid w:val="4434225B"/>
    <w:rsid w:val="443D3D86"/>
    <w:rsid w:val="446B2DE2"/>
    <w:rsid w:val="45263B26"/>
    <w:rsid w:val="469C1468"/>
    <w:rsid w:val="46A8131D"/>
    <w:rsid w:val="46DB4C8A"/>
    <w:rsid w:val="47117ED3"/>
    <w:rsid w:val="47B63C6D"/>
    <w:rsid w:val="4A6045A0"/>
    <w:rsid w:val="4A7D13F1"/>
    <w:rsid w:val="4AA27C3D"/>
    <w:rsid w:val="4B1E335D"/>
    <w:rsid w:val="4B920C94"/>
    <w:rsid w:val="4BD06085"/>
    <w:rsid w:val="4C5002EC"/>
    <w:rsid w:val="4CC9678E"/>
    <w:rsid w:val="4D1F0167"/>
    <w:rsid w:val="4DCA3EC3"/>
    <w:rsid w:val="4E2931CA"/>
    <w:rsid w:val="4E3A6736"/>
    <w:rsid w:val="4E4D5343"/>
    <w:rsid w:val="4E6C0BC5"/>
    <w:rsid w:val="4F8A27BF"/>
    <w:rsid w:val="4FAF0931"/>
    <w:rsid w:val="50104BC8"/>
    <w:rsid w:val="50406436"/>
    <w:rsid w:val="508E6F34"/>
    <w:rsid w:val="51193AF8"/>
    <w:rsid w:val="52A0321A"/>
    <w:rsid w:val="52F014E6"/>
    <w:rsid w:val="53AC779A"/>
    <w:rsid w:val="541B64BA"/>
    <w:rsid w:val="54343997"/>
    <w:rsid w:val="54A32364"/>
    <w:rsid w:val="550F4C67"/>
    <w:rsid w:val="55633225"/>
    <w:rsid w:val="55855327"/>
    <w:rsid w:val="55A209EE"/>
    <w:rsid w:val="560918AE"/>
    <w:rsid w:val="56134310"/>
    <w:rsid w:val="5670596C"/>
    <w:rsid w:val="56864D16"/>
    <w:rsid w:val="57107129"/>
    <w:rsid w:val="575F74D4"/>
    <w:rsid w:val="57761081"/>
    <w:rsid w:val="5796443F"/>
    <w:rsid w:val="57C552B8"/>
    <w:rsid w:val="58AA2F55"/>
    <w:rsid w:val="58E45E13"/>
    <w:rsid w:val="59316355"/>
    <w:rsid w:val="5A0D7524"/>
    <w:rsid w:val="5A624644"/>
    <w:rsid w:val="5B0372E4"/>
    <w:rsid w:val="5B1248DB"/>
    <w:rsid w:val="5B475FB3"/>
    <w:rsid w:val="5C3F0114"/>
    <w:rsid w:val="5D111C3D"/>
    <w:rsid w:val="5D52426E"/>
    <w:rsid w:val="5E19471E"/>
    <w:rsid w:val="5E6B3912"/>
    <w:rsid w:val="5EC475D6"/>
    <w:rsid w:val="5EFC6FEB"/>
    <w:rsid w:val="5F5D21FE"/>
    <w:rsid w:val="5FB574AB"/>
    <w:rsid w:val="5FC86F8E"/>
    <w:rsid w:val="5FD22CE7"/>
    <w:rsid w:val="60046178"/>
    <w:rsid w:val="60F65564"/>
    <w:rsid w:val="61253125"/>
    <w:rsid w:val="61A76F12"/>
    <w:rsid w:val="61F5344E"/>
    <w:rsid w:val="62DF6110"/>
    <w:rsid w:val="63792484"/>
    <w:rsid w:val="63BA7386"/>
    <w:rsid w:val="660721B4"/>
    <w:rsid w:val="667C7355"/>
    <w:rsid w:val="67F33176"/>
    <w:rsid w:val="67F9721F"/>
    <w:rsid w:val="688D6724"/>
    <w:rsid w:val="6A13360C"/>
    <w:rsid w:val="6A1B0A0D"/>
    <w:rsid w:val="6A4D75E7"/>
    <w:rsid w:val="6B297D4F"/>
    <w:rsid w:val="6B8B57B2"/>
    <w:rsid w:val="6BDC7C84"/>
    <w:rsid w:val="6C3C1BF0"/>
    <w:rsid w:val="6C9A7CBE"/>
    <w:rsid w:val="6CEC68F6"/>
    <w:rsid w:val="6D376B5F"/>
    <w:rsid w:val="6DEB4013"/>
    <w:rsid w:val="6E156513"/>
    <w:rsid w:val="700379F2"/>
    <w:rsid w:val="70534BFD"/>
    <w:rsid w:val="714F65D4"/>
    <w:rsid w:val="71D432D4"/>
    <w:rsid w:val="71EA4F92"/>
    <w:rsid w:val="727805A8"/>
    <w:rsid w:val="72C016C8"/>
    <w:rsid w:val="738E1AE0"/>
    <w:rsid w:val="748C49C6"/>
    <w:rsid w:val="74F9640C"/>
    <w:rsid w:val="75307AD5"/>
    <w:rsid w:val="75FA3264"/>
    <w:rsid w:val="7656513E"/>
    <w:rsid w:val="767543BB"/>
    <w:rsid w:val="76A87E18"/>
    <w:rsid w:val="76B71C18"/>
    <w:rsid w:val="76C4680D"/>
    <w:rsid w:val="773853D9"/>
    <w:rsid w:val="77F5053C"/>
    <w:rsid w:val="78395B74"/>
    <w:rsid w:val="7883331E"/>
    <w:rsid w:val="78A20C1B"/>
    <w:rsid w:val="78D7305C"/>
    <w:rsid w:val="79951646"/>
    <w:rsid w:val="7A7535BE"/>
    <w:rsid w:val="7AD71133"/>
    <w:rsid w:val="7B2569DF"/>
    <w:rsid w:val="7B4C0432"/>
    <w:rsid w:val="7BBB337B"/>
    <w:rsid w:val="7BC93DFF"/>
    <w:rsid w:val="7C3B4CC2"/>
    <w:rsid w:val="7DDF358F"/>
    <w:rsid w:val="7E3C3FAA"/>
    <w:rsid w:val="7E86642D"/>
    <w:rsid w:val="7F0740B3"/>
    <w:rsid w:val="7F73742C"/>
    <w:rsid w:val="7FAB0C76"/>
    <w:rsid w:val="7FD654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135"/>
    </w:pPr>
  </w:style>
  <w:style w:type="paragraph" w:styleId="11">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2">
    <w:name w:val="Document Map"/>
    <w:basedOn w:val="1"/>
    <w:link w:val="28"/>
    <w:semiHidden/>
    <w:unhideWhenUsed/>
    <w:qFormat/>
    <w:uiPriority w:val="99"/>
    <w:rPr>
      <w:rFonts w:ascii="Cambria Math" w:hAnsi="Cambria Math" w:eastAsia="Cambria Math"/>
      <w:sz w:val="20"/>
      <w:szCs w:val="20"/>
    </w:rPr>
  </w:style>
  <w:style w:type="paragraph" w:styleId="13">
    <w:name w:val="annotation text"/>
    <w:basedOn w:val="1"/>
    <w:link w:val="49"/>
    <w:unhideWhenUsed/>
    <w:qFormat/>
    <w:uiPriority w:val="99"/>
  </w:style>
  <w:style w:type="paragraph" w:styleId="14">
    <w:name w:val="List 2"/>
    <w:basedOn w:val="15"/>
    <w:qFormat/>
    <w:uiPriority w:val="0"/>
    <w:pPr>
      <w:ind w:left="851"/>
    </w:pPr>
  </w:style>
  <w:style w:type="paragraph" w:styleId="15">
    <w:name w:val="List"/>
    <w:basedOn w:val="1"/>
    <w:semiHidden/>
    <w:unhideWhenUsed/>
    <w:qFormat/>
    <w:uiPriority w:val="99"/>
    <w:pPr>
      <w:ind w:left="200" w:hanging="200" w:hangingChars="200"/>
      <w:contextualSpacing/>
    </w:pPr>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3"/>
    <w:next w:val="13"/>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2"/>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1"/>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3"/>
    <w:qFormat/>
    <w:uiPriority w:val="99"/>
  </w:style>
  <w:style w:type="character" w:customStyle="1" w:styleId="50">
    <w:name w:val="批注主题 字符"/>
    <w:link w:val="20"/>
    <w:semiHidden/>
    <w:qFormat/>
    <w:uiPriority w:val="99"/>
    <w:rPr>
      <w:b/>
      <w:bCs/>
    </w:rPr>
  </w:style>
  <w:style w:type="paragraph" w:customStyle="1" w:styleId="51">
    <w:name w:val="B1"/>
    <w:basedOn w:val="15"/>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0</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2024-11-08T07:50:11Z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